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4" w:rsidRDefault="00A73A94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73A94" w:rsidRDefault="00B97AFB" w:rsidP="0003446A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Klasa 7</w:t>
      </w:r>
    </w:p>
    <w:p w:rsidR="00A73A94" w:rsidRPr="008503CA" w:rsidRDefault="00A73A94" w:rsidP="0003446A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8503CA">
        <w:rPr>
          <w:b/>
        </w:rPr>
        <w:t xml:space="preserve">Poziomy </w:t>
      </w:r>
      <w:r>
        <w:rPr>
          <w:b/>
        </w:rPr>
        <w:t>wymagań</w:t>
      </w:r>
      <w:r w:rsidR="00607628">
        <w:rPr>
          <w:b/>
        </w:rPr>
        <w:t xml:space="preserve"> </w:t>
      </w:r>
    </w:p>
    <w:p w:rsidR="00A73A94" w:rsidRPr="008503CA" w:rsidRDefault="00A73A94" w:rsidP="0003446A">
      <w:pPr>
        <w:pStyle w:val="Tekstpodstawowywcity"/>
        <w:spacing w:line="276" w:lineRule="auto"/>
        <w:ind w:firstLine="357"/>
      </w:pPr>
      <w:r w:rsidRPr="008503CA">
        <w:t xml:space="preserve">Wyróżniono następujące wymagania programowe: konieczne (K), podstawowe (P), rozszerzające (R), dopełniające (D) i wykraczające poza program nauczania (W). </w:t>
      </w:r>
    </w:p>
    <w:p w:rsidR="00A73A94" w:rsidRPr="008503CA" w:rsidRDefault="00A73A94" w:rsidP="0003446A">
      <w:pPr>
        <w:pStyle w:val="Tekstpodstawowywcity"/>
        <w:spacing w:line="276" w:lineRule="auto"/>
        <w:ind w:firstLine="357"/>
      </w:pPr>
      <w:r w:rsidRPr="008503CA">
        <w:t>Wymienione poziomy wymagań odpowiadają w przybliżeniu ocenom szkolnym. Naucz</w:t>
      </w:r>
      <w:r>
        <w:t>yciel, określając te </w:t>
      </w:r>
      <w:r w:rsidRPr="008503CA">
        <w:t>poziomy, powinien sprecyzować, czy opanowania konkretnych umiejętności l</w:t>
      </w:r>
      <w:r>
        <w:t>ub wiadomości będzie wymagał na </w:t>
      </w:r>
      <w:r w:rsidRPr="008503CA">
        <w:t>ocenę dopuszczającą (2), dostateczną (3), dobrą (4), bardzo dobrą (5) czy celującą (6).</w:t>
      </w:r>
    </w:p>
    <w:p w:rsidR="00A73A94" w:rsidRPr="008503CA" w:rsidRDefault="00A73A94" w:rsidP="0003446A">
      <w:pPr>
        <w:spacing w:line="276" w:lineRule="auto"/>
        <w:rPr>
          <w:sz w:val="20"/>
          <w:szCs w:val="20"/>
        </w:rPr>
      </w:pPr>
    </w:p>
    <w:p w:rsidR="00A73A94" w:rsidRPr="008503CA" w:rsidRDefault="00A73A94" w:rsidP="0003446A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8503CA">
        <w:rPr>
          <w:sz w:val="20"/>
          <w:szCs w:val="20"/>
        </w:rPr>
        <w:t xml:space="preserve">Wymagania </w:t>
      </w:r>
      <w:r w:rsidRPr="008503CA">
        <w:rPr>
          <w:b/>
          <w:sz w:val="20"/>
          <w:szCs w:val="20"/>
        </w:rPr>
        <w:t xml:space="preserve">konieczne </w:t>
      </w:r>
      <w:r>
        <w:rPr>
          <w:b/>
          <w:sz w:val="20"/>
          <w:szCs w:val="20"/>
        </w:rPr>
        <w:t>(</w:t>
      </w:r>
      <w:r w:rsidRPr="008503CA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)</w:t>
      </w:r>
      <w:r w:rsidRPr="008503CA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wiadomości i umiejętności umożliwiające uczniowi dalszą naukę, bez których uczeń nie jest w stanie zrozumieć kolejnych zagadnień omawianych </w:t>
      </w:r>
      <w:r>
        <w:rPr>
          <w:sz w:val="20"/>
          <w:szCs w:val="20"/>
        </w:rPr>
        <w:t>podczas lekcji i </w:t>
      </w:r>
      <w:r w:rsidRPr="005F717D">
        <w:rPr>
          <w:sz w:val="20"/>
          <w:szCs w:val="20"/>
        </w:rPr>
        <w:t>wykonywać prostych zadań nawiązujących do sytuacji z życia codziennego.</w:t>
      </w:r>
    </w:p>
    <w:p w:rsidR="00A73A94" w:rsidRDefault="00A73A94" w:rsidP="0003446A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podstawowe </w:t>
      </w:r>
      <w:r>
        <w:rPr>
          <w:b/>
          <w:sz w:val="20"/>
          <w:szCs w:val="20"/>
        </w:rPr>
        <w:t>(</w:t>
      </w:r>
      <w:r w:rsidRPr="005F717D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)</w:t>
      </w:r>
      <w:r w:rsidRPr="005F717D">
        <w:rPr>
          <w:b/>
          <w:sz w:val="20"/>
          <w:szCs w:val="20"/>
        </w:rPr>
        <w:t xml:space="preserve">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obejmują</w:t>
      </w:r>
      <w:r w:rsidRPr="005F717D">
        <w:rPr>
          <w:sz w:val="20"/>
          <w:szCs w:val="20"/>
        </w:rPr>
        <w:t xml:space="preserve"> wymagania z poziomu K</w:t>
      </w:r>
      <w:r>
        <w:rPr>
          <w:sz w:val="20"/>
          <w:szCs w:val="20"/>
        </w:rPr>
        <w:t xml:space="preserve"> oraz wiadomości stosunkowo łatwe do </w:t>
      </w:r>
      <w:r w:rsidRPr="005F717D">
        <w:rPr>
          <w:sz w:val="20"/>
          <w:szCs w:val="20"/>
        </w:rPr>
        <w:t>opanowania, przydatne w życiu codziennym, bez których nie jest możliwe kontynuowanie dalszej nauki.</w:t>
      </w:r>
    </w:p>
    <w:p w:rsidR="00A73A94" w:rsidRPr="005F717D" w:rsidRDefault="00A73A94" w:rsidP="0003446A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sz w:val="20"/>
          <w:szCs w:val="20"/>
        </w:rPr>
      </w:pPr>
      <w:r w:rsidRPr="005F717D">
        <w:rPr>
          <w:sz w:val="20"/>
          <w:szCs w:val="20"/>
        </w:rPr>
        <w:t xml:space="preserve">Wymagania </w:t>
      </w:r>
      <w:r w:rsidRPr="005F717D">
        <w:rPr>
          <w:b/>
          <w:sz w:val="20"/>
          <w:szCs w:val="20"/>
        </w:rPr>
        <w:t xml:space="preserve">rozszerzające (R) </w:t>
      </w:r>
      <w:r w:rsidRPr="001F08BB">
        <w:rPr>
          <w:sz w:val="20"/>
          <w:szCs w:val="20"/>
        </w:rPr>
        <w:t>–</w:t>
      </w:r>
      <w:r w:rsidRPr="005F717D">
        <w:rPr>
          <w:b/>
          <w:sz w:val="20"/>
          <w:szCs w:val="20"/>
        </w:rPr>
        <w:t xml:space="preserve"> </w:t>
      </w:r>
      <w:r w:rsidRPr="005F717D">
        <w:rPr>
          <w:sz w:val="20"/>
          <w:szCs w:val="20"/>
        </w:rPr>
        <w:t xml:space="preserve">obejmują </w:t>
      </w:r>
      <w:r>
        <w:rPr>
          <w:sz w:val="20"/>
          <w:szCs w:val="20"/>
        </w:rPr>
        <w:t>wymagania z poziomów K i P oraz wiadomości i umiejętności o </w:t>
      </w:r>
      <w:r w:rsidRPr="005F717D">
        <w:rPr>
          <w:sz w:val="20"/>
          <w:szCs w:val="20"/>
        </w:rPr>
        <w:t>średnim stopniu trudności, dotyczą</w:t>
      </w:r>
      <w:r>
        <w:rPr>
          <w:sz w:val="20"/>
          <w:szCs w:val="20"/>
        </w:rPr>
        <w:t>ce</w:t>
      </w:r>
      <w:r w:rsidRPr="005F717D">
        <w:rPr>
          <w:sz w:val="20"/>
          <w:szCs w:val="20"/>
        </w:rPr>
        <w:t xml:space="preserve"> zagadnień bardziej </w:t>
      </w:r>
      <w:r>
        <w:rPr>
          <w:sz w:val="20"/>
          <w:szCs w:val="20"/>
        </w:rPr>
        <w:t xml:space="preserve">złożonych i nieco trudniejszych, </w:t>
      </w:r>
      <w:r w:rsidRPr="005F717D">
        <w:rPr>
          <w:sz w:val="20"/>
          <w:szCs w:val="20"/>
        </w:rPr>
        <w:t>przydatn</w:t>
      </w:r>
      <w:r>
        <w:rPr>
          <w:sz w:val="20"/>
          <w:szCs w:val="20"/>
        </w:rPr>
        <w:t>ych na </w:t>
      </w:r>
      <w:r w:rsidRPr="005F717D">
        <w:rPr>
          <w:sz w:val="20"/>
          <w:szCs w:val="20"/>
        </w:rPr>
        <w:t xml:space="preserve">kolejnych poziomach </w:t>
      </w:r>
      <w:r>
        <w:rPr>
          <w:sz w:val="20"/>
          <w:szCs w:val="20"/>
        </w:rPr>
        <w:t>kształcenia</w:t>
      </w:r>
      <w:r w:rsidRPr="005F717D">
        <w:rPr>
          <w:sz w:val="20"/>
          <w:szCs w:val="20"/>
        </w:rPr>
        <w:t xml:space="preserve">; </w:t>
      </w:r>
    </w:p>
    <w:p w:rsidR="00A73A94" w:rsidRDefault="00A73A94" w:rsidP="0003446A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dopełniające (D) </w:t>
      </w:r>
      <w:r w:rsidRPr="001F08BB">
        <w:rPr>
          <w:sz w:val="20"/>
          <w:szCs w:val="20"/>
        </w:rPr>
        <w:t>–</w:t>
      </w:r>
      <w:r w:rsidRPr="00D048F1">
        <w:rPr>
          <w:sz w:val="20"/>
          <w:szCs w:val="20"/>
        </w:rPr>
        <w:t xml:space="preserve"> obejmują wymagania z poziomów K, P i R oraz </w:t>
      </w:r>
      <w:r>
        <w:rPr>
          <w:sz w:val="20"/>
          <w:szCs w:val="20"/>
        </w:rPr>
        <w:t>obejmują wiadomości i </w:t>
      </w:r>
      <w:r w:rsidRPr="00D048F1">
        <w:rPr>
          <w:sz w:val="20"/>
          <w:szCs w:val="20"/>
        </w:rPr>
        <w:t>umiejętności złożone dotyczące zadań problemowych, o wyższym stopniu trudności.</w:t>
      </w:r>
    </w:p>
    <w:p w:rsidR="00A73A94" w:rsidRPr="00D048F1" w:rsidRDefault="00A73A94" w:rsidP="0003446A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0"/>
          <w:szCs w:val="20"/>
        </w:rPr>
      </w:pPr>
      <w:r w:rsidRPr="00D048F1">
        <w:rPr>
          <w:sz w:val="20"/>
          <w:szCs w:val="20"/>
        </w:rPr>
        <w:t xml:space="preserve">Wymagania </w:t>
      </w:r>
      <w:r w:rsidRPr="00D048F1">
        <w:rPr>
          <w:b/>
          <w:sz w:val="20"/>
          <w:szCs w:val="20"/>
        </w:rPr>
        <w:t xml:space="preserve">wykraczające (W) </w:t>
      </w:r>
      <w:r w:rsidRPr="001F08BB">
        <w:rPr>
          <w:sz w:val="20"/>
          <w:szCs w:val="20"/>
        </w:rPr>
        <w:t>–</w:t>
      </w:r>
      <w:r w:rsidRPr="00D048F1">
        <w:rPr>
          <w:b/>
          <w:sz w:val="20"/>
          <w:szCs w:val="20"/>
        </w:rPr>
        <w:t xml:space="preserve"> </w:t>
      </w:r>
      <w:r w:rsidRPr="00D048F1">
        <w:rPr>
          <w:sz w:val="20"/>
          <w:szCs w:val="20"/>
        </w:rPr>
        <w:t>stosowanie znanych wiadomości i umiejętności w sytuacjach trudnych, nietypowych, złożonych</w:t>
      </w:r>
      <w:r>
        <w:rPr>
          <w:sz w:val="20"/>
          <w:szCs w:val="20"/>
        </w:rPr>
        <w:t>.</w:t>
      </w:r>
    </w:p>
    <w:p w:rsidR="00A73A94" w:rsidRDefault="00A73A94" w:rsidP="0003446A">
      <w:pPr>
        <w:spacing w:after="120" w:line="276" w:lineRule="auto"/>
        <w:jc w:val="both"/>
        <w:rPr>
          <w:sz w:val="20"/>
          <w:szCs w:val="20"/>
        </w:rPr>
      </w:pPr>
    </w:p>
    <w:p w:rsidR="00A73A94" w:rsidRPr="008503CA" w:rsidRDefault="00A73A94" w:rsidP="0003446A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Wymagania</w:t>
      </w:r>
      <w:r w:rsidRPr="008503CA">
        <w:rPr>
          <w:sz w:val="20"/>
          <w:szCs w:val="20"/>
        </w:rPr>
        <w:t xml:space="preserve"> na poszczególne oceny szkolne:</w:t>
      </w:r>
    </w:p>
    <w:p w:rsidR="00A73A94" w:rsidRPr="008503CA" w:rsidRDefault="00A73A94" w:rsidP="0003446A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dopuszczająca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poziomu K,</w:t>
      </w:r>
    </w:p>
    <w:p w:rsidR="00A73A94" w:rsidRPr="008503CA" w:rsidRDefault="00A73A94" w:rsidP="0003446A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dostateczna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 K i P,</w:t>
      </w:r>
    </w:p>
    <w:p w:rsidR="00A73A94" w:rsidRPr="008503CA" w:rsidRDefault="00A73A94" w:rsidP="0003446A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 i R,</w:t>
      </w:r>
    </w:p>
    <w:p w:rsidR="00A73A94" w:rsidRPr="008503CA" w:rsidRDefault="00A73A94" w:rsidP="0003446A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bardzo dobra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 i D,</w:t>
      </w:r>
    </w:p>
    <w:p w:rsidR="00A73A94" w:rsidRPr="008503CA" w:rsidRDefault="00A73A94" w:rsidP="0003446A">
      <w:pPr>
        <w:tabs>
          <w:tab w:val="left" w:pos="1843"/>
          <w:tab w:val="left" w:pos="2127"/>
        </w:tabs>
        <w:spacing w:line="276" w:lineRule="auto"/>
        <w:rPr>
          <w:sz w:val="20"/>
          <w:szCs w:val="20"/>
        </w:rPr>
      </w:pPr>
      <w:r w:rsidRPr="008503CA">
        <w:rPr>
          <w:sz w:val="20"/>
          <w:szCs w:val="20"/>
        </w:rPr>
        <w:t>ocena celująca</w:t>
      </w:r>
      <w:r w:rsidRPr="008503CA">
        <w:rPr>
          <w:sz w:val="20"/>
          <w:szCs w:val="20"/>
        </w:rPr>
        <w:tab/>
        <w:t xml:space="preserve">– </w:t>
      </w:r>
      <w:r w:rsidRPr="008503CA">
        <w:rPr>
          <w:sz w:val="20"/>
          <w:szCs w:val="20"/>
        </w:rPr>
        <w:tab/>
        <w:t>wymagania z poziomów: K, P, R, D i W.</w:t>
      </w:r>
    </w:p>
    <w:p w:rsidR="009D0A75" w:rsidRDefault="009D0A75" w:rsidP="0003446A">
      <w:pPr>
        <w:spacing w:line="276" w:lineRule="auto"/>
        <w:ind w:firstLine="360"/>
        <w:rPr>
          <w:sz w:val="20"/>
          <w:szCs w:val="20"/>
        </w:rPr>
      </w:pPr>
    </w:p>
    <w:p w:rsidR="00A73A94" w:rsidRDefault="00A73A94" w:rsidP="0003446A">
      <w:pPr>
        <w:spacing w:line="276" w:lineRule="auto"/>
        <w:ind w:firstLine="360"/>
        <w:rPr>
          <w:sz w:val="20"/>
          <w:szCs w:val="20"/>
        </w:rPr>
      </w:pPr>
      <w:r w:rsidRPr="00DF0566">
        <w:rPr>
          <w:sz w:val="20"/>
          <w:szCs w:val="20"/>
        </w:rPr>
        <w:t>Ten podział należy traktować jako propozycję. Połączenie wymagań koniecznych i podstawowych, a także rozszerzających i dopełniających, pozwoli nauczycielowi dostosować wymagania do specyfiki klasy.</w:t>
      </w:r>
    </w:p>
    <w:p w:rsidR="00324883" w:rsidRDefault="00324883" w:rsidP="0003446A">
      <w:pPr>
        <w:spacing w:line="276" w:lineRule="auto"/>
        <w:jc w:val="both"/>
        <w:rPr>
          <w:b/>
        </w:rPr>
      </w:pPr>
    </w:p>
    <w:p w:rsidR="009D4B59" w:rsidRPr="00E04C36" w:rsidRDefault="009D4B59" w:rsidP="00B232F0">
      <w:pPr>
        <w:spacing w:line="276" w:lineRule="auto"/>
        <w:jc w:val="center"/>
        <w:rPr>
          <w:b/>
        </w:rPr>
      </w:pPr>
      <w:r w:rsidRPr="00E04C36">
        <w:rPr>
          <w:b/>
        </w:rPr>
        <w:t>Wymagania programowe</w:t>
      </w:r>
      <w:r w:rsidR="00B232F0">
        <w:rPr>
          <w:b/>
        </w:rPr>
        <w:t xml:space="preserve"> w klasie VII</w:t>
      </w:r>
    </w:p>
    <w:p w:rsidR="009D4B59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D33950" w:rsidRPr="00E04C36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9D4B59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 xml:space="preserve">DZIAŁ </w:t>
      </w:r>
      <w:r w:rsidR="00507559" w:rsidRPr="00E04C36">
        <w:rPr>
          <w:b/>
          <w:bCs/>
          <w:sz w:val="20"/>
          <w:szCs w:val="20"/>
        </w:rPr>
        <w:t>I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="00C41034">
        <w:rPr>
          <w:b/>
          <w:bCs/>
          <w:sz w:val="20"/>
          <w:szCs w:val="20"/>
        </w:rPr>
        <w:t>PROPORCJONALNOŚĆ I PROCENTY</w:t>
      </w:r>
    </w:p>
    <w:p w:rsidR="001961A6" w:rsidRDefault="001961A6" w:rsidP="0003446A">
      <w:pPr>
        <w:spacing w:line="276" w:lineRule="auto"/>
        <w:jc w:val="both"/>
        <w:rPr>
          <w:b/>
          <w:bCs/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F24485" w:rsidRPr="0012583C" w:rsidTr="00C4103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12583C" w:rsidRDefault="00F24485" w:rsidP="00F2448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podaje przykłady wielkości wprost proporcjonalnych</w:t>
            </w:r>
          </w:p>
        </w:tc>
      </w:tr>
      <w:tr w:rsidR="00F24485" w:rsidRPr="0012583C" w:rsidTr="00C4103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12583C" w:rsidRDefault="00F24485" w:rsidP="00AB5C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wyznacza wartość przyjmowaną przez wielkość wprost proporcjonalną w </w:t>
            </w:r>
            <w:r>
              <w:rPr>
                <w:sz w:val="20"/>
                <w:szCs w:val="20"/>
              </w:rPr>
              <w:t>przypadku konkretnej zależności pr</w:t>
            </w:r>
            <w:r w:rsidRPr="0012583C">
              <w:rPr>
                <w:sz w:val="20"/>
                <w:szCs w:val="20"/>
              </w:rPr>
              <w:t>oporcjonalnej</w:t>
            </w:r>
          </w:p>
        </w:tc>
      </w:tr>
      <w:tr w:rsidR="00F24485" w:rsidRPr="0012583C" w:rsidTr="00C41034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12583C" w:rsidRDefault="00F24485" w:rsidP="00F2448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podział proporcjonalny w prostych przykładach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ułamek danej liczby całkowitej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tekstowe z wykorzystaniem obliczania ułamka danej liczby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przedstawia część wielkości jako procent tej wielkości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 xml:space="preserve">oblicza, jaki procent danej liczby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stanowi liczba </w:t>
            </w:r>
            <w:r w:rsidRPr="00E04C36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100%, 50%, 25%,</w:t>
            </w:r>
            <w:r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10%, 1% danej wielkości jako całość, połowę, jedną czwartą, jedną dziesiątą, jedną setną część danej wielkości liczbowej 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zamienia ułamek na procent</w:t>
            </w:r>
          </w:p>
        </w:tc>
      </w:tr>
      <w:tr w:rsidR="00F24485" w:rsidRPr="00E04C36" w:rsidTr="00C41034">
        <w:trPr>
          <w:trHeight w:val="238"/>
        </w:trPr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zamienia procent na ułamek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procent danej liczby w prostej sytuacji zadaniowej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liczbę</w:t>
            </w:r>
            <w:r>
              <w:rPr>
                <w:sz w:val="20"/>
                <w:szCs w:val="20"/>
              </w:rPr>
              <w:t>,</w:t>
            </w:r>
            <w:r w:rsidRPr="00E04C36">
              <w:rPr>
                <w:sz w:val="20"/>
                <w:szCs w:val="20"/>
              </w:rPr>
              <w:t xml:space="preserve"> gdy dany jest jej procent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z wykorzystaniem obliczania liczby z danego jej procentu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zwiększa i zmniejsza liczbę o dany procent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zmniejszania i zwiększania liczby o dany procent</w:t>
            </w:r>
          </w:p>
        </w:tc>
      </w:tr>
      <w:tr w:rsidR="00F24485" w:rsidRPr="00E04C36" w:rsidTr="00C41034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proste zadania z wykorzystaniem obliczeń procentowych w kontekście praktycznym</w:t>
            </w:r>
          </w:p>
        </w:tc>
      </w:tr>
    </w:tbl>
    <w:p w:rsidR="009D4B59" w:rsidRPr="00E04C36" w:rsidRDefault="009D4B59" w:rsidP="0003446A">
      <w:pPr>
        <w:rPr>
          <w:sz w:val="20"/>
          <w:szCs w:val="20"/>
        </w:rPr>
      </w:pPr>
    </w:p>
    <w:p w:rsidR="009D4B59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F24485" w:rsidRPr="00E04C36" w:rsidTr="00F24485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podziału proporcjonalnego</w:t>
            </w:r>
          </w:p>
        </w:tc>
      </w:tr>
      <w:tr w:rsidR="00F24485" w:rsidRPr="00E04C36" w:rsidTr="00F24485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obliczania ułamka danej liczby</w:t>
            </w:r>
          </w:p>
        </w:tc>
      </w:tr>
      <w:tr w:rsidR="00F24485" w:rsidRPr="00E04C36" w:rsidTr="00F24485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podwyższonym stopniu trudności z wykorzystaniem obliczania, jaki procent danej liczby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 xml:space="preserve">stanowi liczba </w:t>
            </w:r>
            <w:r w:rsidRPr="00E04C36">
              <w:rPr>
                <w:i/>
                <w:iCs/>
                <w:sz w:val="20"/>
                <w:szCs w:val="20"/>
              </w:rPr>
              <w:t>a</w:t>
            </w:r>
          </w:p>
        </w:tc>
      </w:tr>
      <w:tr w:rsidR="00F24485" w:rsidRPr="00E04C36" w:rsidTr="00F24485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obliczenia procentowe do rozwiązywania trudniejszych problemów w kontekście praktycznym</w:t>
            </w:r>
          </w:p>
        </w:tc>
      </w:tr>
      <w:tr w:rsidR="00F24485" w:rsidRPr="00E04C36" w:rsidTr="00F24485">
        <w:tc>
          <w:tcPr>
            <w:tcW w:w="409" w:type="dxa"/>
          </w:tcPr>
          <w:p w:rsidR="00F24485" w:rsidRPr="00E04C36" w:rsidRDefault="00F24485" w:rsidP="00F24485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F24485" w:rsidRPr="00E04C36" w:rsidRDefault="00F24485" w:rsidP="00F244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zadania tekstowe o podwyższonym stopniu trudności również w przypadku wielokrotnego zwiększania lub zmniejszania danej wielkości o wskazany procent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F04B69" w:rsidRDefault="00F04B69" w:rsidP="0003446A">
      <w:pPr>
        <w:spacing w:line="276" w:lineRule="auto"/>
        <w:rPr>
          <w:b/>
          <w:bCs/>
          <w:sz w:val="20"/>
          <w:szCs w:val="20"/>
        </w:rPr>
      </w:pPr>
    </w:p>
    <w:p w:rsidR="009D4B59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II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POTĘGI</w:t>
      </w:r>
    </w:p>
    <w:p w:rsidR="00D33950" w:rsidRPr="00E04C36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9D4B59" w:rsidRPr="0012583C" w:rsidTr="00E21282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liczb naturalnych</w:t>
            </w:r>
          </w:p>
        </w:tc>
      </w:tr>
      <w:tr w:rsidR="0012583C" w:rsidRPr="0012583C" w:rsidTr="00E21282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12583C" w:rsidRDefault="009D4B59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kwadraty i sześciany ułamków zwykłych i dziesiętnych oraz liczb mieszanych</w:t>
            </w:r>
          </w:p>
        </w:tc>
      </w:tr>
      <w:tr w:rsidR="0012583C" w:rsidRPr="0012583C" w:rsidTr="00E21282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9D4B59" w:rsidRPr="0012583C" w:rsidRDefault="009D4B59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liczbę w postaci potęgi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oblicza wartości potęg liczb wymiernych o wykładnikach naturalnych 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określa znak potęgi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potęg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iloczyny potęg o takich samych podstawach</w:t>
            </w:r>
          </w:p>
        </w:tc>
      </w:tr>
      <w:tr w:rsidR="007356CD" w:rsidRPr="0012583C" w:rsidTr="00E21282">
        <w:trPr>
          <w:trHeight w:val="238"/>
        </w:trPr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w postaci jednej potęgi ilorazy potęg o takich samych podstawach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potęgę potęgi w postaci jednej potęgi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mnoży potęgi o różnych podstawach i jednakowych wykładnikach</w:t>
            </w:r>
            <w:r w:rsidR="000D41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dzieli potęgi o różnych podstawach i jednakowych wykładnikach</w:t>
            </w:r>
            <w:r w:rsidR="000D419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wykorzystując odpowiedni wzór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prostych wyrażeń arytmetycznych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odczytuje liczby w notacji wykładniczej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zapisuje liczby w notacji wykładniczej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używa nazw dla liczb wielkich (do biliona)</w:t>
            </w:r>
          </w:p>
        </w:tc>
      </w:tr>
      <w:tr w:rsidR="007356CD" w:rsidRPr="0012583C" w:rsidTr="00E21282">
        <w:tc>
          <w:tcPr>
            <w:tcW w:w="409" w:type="dxa"/>
          </w:tcPr>
          <w:p w:rsidR="007356CD" w:rsidRPr="0012583C" w:rsidRDefault="00E2128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961A6"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7356CD" w:rsidRPr="0012583C" w:rsidRDefault="007356CD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z wykorzystaniem notacji wykładniczej w kontekście praktycznym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12583C" w:rsidRPr="0012583C" w:rsidTr="009A0D2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porównuje liczby zapisane w postaci potęg</w:t>
            </w:r>
          </w:p>
        </w:tc>
      </w:tr>
      <w:tr w:rsidR="0012583C" w:rsidRPr="0012583C" w:rsidTr="009A0D2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zadania tekstowe o podwyższonym stopniu trudności z wykorzystaniem potęg</w:t>
            </w:r>
          </w:p>
        </w:tc>
      </w:tr>
      <w:tr w:rsidR="0012583C" w:rsidRPr="0012583C" w:rsidTr="009A0D2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prawa działań na potęgach do obliczania wartości bardziej złożonych wyrażeń arytmetycznych</w:t>
            </w:r>
          </w:p>
        </w:tc>
      </w:tr>
      <w:tr w:rsidR="0012583C" w:rsidRPr="0012583C" w:rsidTr="009A0D2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zapis notacji wykładniczej w sytuacjach praktycznych</w:t>
            </w:r>
          </w:p>
        </w:tc>
      </w:tr>
      <w:tr w:rsidR="0012583C" w:rsidRPr="0012583C" w:rsidTr="009A0D2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prawa działań dla wykładników ujemnych</w:t>
            </w:r>
          </w:p>
        </w:tc>
      </w:tr>
      <w:tr w:rsidR="0012583C" w:rsidRPr="0012583C" w:rsidTr="009A0D20">
        <w:trPr>
          <w:trHeight w:val="238"/>
        </w:trPr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280A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rozwiązuje zadania o podwyższonym stopniu trudności  z wykorzystaniem notacji wykładniczej w</w:t>
            </w:r>
            <w:r w:rsidR="00E52320">
              <w:rPr>
                <w:rFonts w:ascii="Times New Roman" w:hAnsi="Times New Roman"/>
                <w:sz w:val="20"/>
                <w:szCs w:val="20"/>
              </w:rPr>
              <w:t> 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>kontekście praktycznym</w:t>
            </w:r>
          </w:p>
        </w:tc>
      </w:tr>
    </w:tbl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D33950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7A317F" w:rsidRPr="00E04C36" w:rsidRDefault="007A317F" w:rsidP="007A317F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</w:t>
      </w:r>
      <w:r>
        <w:rPr>
          <w:b/>
          <w:bCs/>
          <w:sz w:val="20"/>
          <w:szCs w:val="20"/>
        </w:rPr>
        <w:t>I</w:t>
      </w:r>
      <w:r w:rsidRPr="00E04C36">
        <w:rPr>
          <w:b/>
          <w:bCs/>
          <w:sz w:val="20"/>
          <w:szCs w:val="20"/>
        </w:rPr>
        <w:t>I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PIERWIASTKI</w:t>
      </w:r>
    </w:p>
    <w:p w:rsidR="007A317F" w:rsidRDefault="007A317F" w:rsidP="007A317F">
      <w:pPr>
        <w:spacing w:line="276" w:lineRule="auto"/>
        <w:jc w:val="both"/>
        <w:rPr>
          <w:sz w:val="20"/>
          <w:szCs w:val="20"/>
        </w:rPr>
      </w:pPr>
    </w:p>
    <w:p w:rsidR="007A317F" w:rsidRPr="00E04C36" w:rsidRDefault="007A317F" w:rsidP="007A317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01"/>
      </w:tblGrid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kwadratowego z liczby nieujemnej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wyrażeń arytmetycznych, w których występują pierwiastki kwadratowe, pamiętając o</w:t>
            </w:r>
            <w:r>
              <w:rPr>
                <w:sz w:val="20"/>
                <w:szCs w:val="20"/>
              </w:rPr>
              <w:t> </w:t>
            </w:r>
            <w:r w:rsidRPr="0012583C">
              <w:rPr>
                <w:sz w:val="20"/>
                <w:szCs w:val="20"/>
              </w:rPr>
              <w:t>zasadach dotyczących kolejności wykonywania działań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kwadratowego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2583C">
              <w:rPr>
                <w:sz w:val="20"/>
                <w:szCs w:val="20"/>
              </w:rPr>
              <w:t>ozwiązuje proste zadania dotyczące pól kwadratów</w:t>
            </w:r>
            <w:r>
              <w:rPr>
                <w:sz w:val="20"/>
                <w:szCs w:val="20"/>
              </w:rPr>
              <w:t>,</w:t>
            </w:r>
            <w:r w:rsidRPr="0012583C">
              <w:rPr>
                <w:sz w:val="20"/>
                <w:szCs w:val="20"/>
              </w:rPr>
              <w:t xml:space="preserve"> wykorzystując pierwiastek kwadratowy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pierwiastki wymierne i niewymierne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iloczynu pierwiastków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wzór na pierwiastek z ilorazu pierwiastków</w:t>
            </w:r>
          </w:p>
        </w:tc>
      </w:tr>
      <w:tr w:rsidR="00BC0710" w:rsidRPr="0012583C" w:rsidTr="001D0FE3">
        <w:trPr>
          <w:trHeight w:val="238"/>
        </w:trPr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dodaje proste wyrażenia zawierające pierwiastki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pierwiastka sześciennego z liczb ujemnych i nieujemnych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wartości prostych wyrażeń arytmetycznych, w których występują pierwiastki sześcienne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liczbę podpierwiastkową, gdy dana jest wartość pierwiastka sześciennego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prostych zadań dotyczących objętości sześcianów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włącza czynnik pod znak pierwiastka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wyłącza czynnik przed znak pierwiastka</w:t>
            </w:r>
          </w:p>
        </w:tc>
      </w:tr>
      <w:tr w:rsidR="00BC0710" w:rsidRPr="0012583C" w:rsidTr="001D0FE3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01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</w:tbl>
    <w:p w:rsidR="007A317F" w:rsidRDefault="007A317F" w:rsidP="007A317F">
      <w:pPr>
        <w:rPr>
          <w:sz w:val="20"/>
          <w:szCs w:val="20"/>
        </w:rPr>
      </w:pPr>
    </w:p>
    <w:p w:rsidR="007A317F" w:rsidRPr="00E04C36" w:rsidRDefault="007A317F" w:rsidP="007A317F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kwadratowy do rozwiązywania złożonych zadań tekstowych dotyczących pól kwadratów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wyrażenia arytmetycznego zawierającego pierwiastki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wartości wyrażeń arytmetycznych zawierających pierwiastki kwadratowe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stosując własności działań na pierwiastkach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porównuje liczby, stosując własności działań na pierwiastkach drugiego stopnia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dodaje bardziej złożone wyrażenia zawierające pierwiastki</w:t>
            </w:r>
          </w:p>
        </w:tc>
      </w:tr>
      <w:tr w:rsidR="00BC0710" w:rsidRPr="0012583C" w:rsidTr="00BC0710">
        <w:trPr>
          <w:trHeight w:val="238"/>
        </w:trPr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wyznacza wartości bardziej złożonych wyrażeń arytmetycznych zawierających pierwiastki sześcienne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</w:t>
            </w:r>
            <w:r>
              <w:rPr>
                <w:sz w:val="20"/>
                <w:szCs w:val="20"/>
              </w:rPr>
              <w:t>rającego pierwiastki sześcienne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porównuje z daną liczbą wymierną wartość wyrażenia arytmetycznego zawierającego pierwiastki 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znajduje liczby wymierne większe lub mniejsze od wartości wyrażenia arytmetycznego zawierającego pierwiastki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szacuje wielkość danego wyrażenia arytmetycznego zawierającego pierwiastki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pierwiastek sześcienny do rozwiązywania bardziej złożonych zadań dotyczących objętości sześcianów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usuwa niewymierność z mianownika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bardziej złożone zadania z wykorzystaniem potęg i pierwiastków</w:t>
            </w:r>
          </w:p>
        </w:tc>
      </w:tr>
    </w:tbl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D33950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D33950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D33950" w:rsidRDefault="00D33950" w:rsidP="0003446A">
      <w:pPr>
        <w:spacing w:line="276" w:lineRule="auto"/>
        <w:rPr>
          <w:b/>
          <w:bCs/>
          <w:sz w:val="20"/>
          <w:szCs w:val="20"/>
        </w:rPr>
      </w:pPr>
    </w:p>
    <w:p w:rsidR="002B367A" w:rsidRDefault="002B367A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IV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WYRAŻENIA ALGEBRAICZNE</w:t>
      </w:r>
    </w:p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12583C" w:rsidTr="00BC0710">
        <w:tc>
          <w:tcPr>
            <w:tcW w:w="409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wyrażenie algebraiczne</w:t>
            </w:r>
          </w:p>
        </w:tc>
      </w:tr>
      <w:tr w:rsidR="0012583C" w:rsidRPr="0012583C" w:rsidTr="00BC071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wartość liczbową prostego wyrażenia algebraicznego</w:t>
            </w:r>
          </w:p>
        </w:tc>
      </w:tr>
      <w:tr w:rsidR="0012583C" w:rsidRPr="0012583C" w:rsidTr="00BC071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rozpoznaje równe wyrażenia algebraiczne</w:t>
            </w:r>
          </w:p>
        </w:tc>
      </w:tr>
      <w:tr w:rsidR="0012583C" w:rsidRPr="0012583C" w:rsidTr="00BC071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przedstawione w zadaniach w postaci wyrażeń algebraicznych jednej zmiennej</w:t>
            </w:r>
          </w:p>
        </w:tc>
      </w:tr>
      <w:tr w:rsidR="0012583C" w:rsidRPr="0012583C" w:rsidTr="00BC071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rozwiązania prostych zadań w postaci wyrażeń algebraicznych</w:t>
            </w:r>
          </w:p>
        </w:tc>
      </w:tr>
      <w:tr w:rsidR="0012583C" w:rsidRPr="0012583C" w:rsidTr="00BC0710">
        <w:trPr>
          <w:trHeight w:val="238"/>
        </w:trPr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rozróżnia sumę, różnicę, iloczyn i iloraz zmiennych</w:t>
            </w:r>
          </w:p>
        </w:tc>
      </w:tr>
      <w:tr w:rsidR="0012583C" w:rsidRPr="0012583C" w:rsidTr="00BC0710">
        <w:tc>
          <w:tcPr>
            <w:tcW w:w="409" w:type="dxa"/>
          </w:tcPr>
          <w:p w:rsidR="009D4B59" w:rsidRPr="0012583C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12583C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nazywa proste wyrażenia algebraiczne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wyrazy sumy algebraicznej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podaje współczynniki liczbowe </w:t>
            </w:r>
            <w:r>
              <w:rPr>
                <w:sz w:val="20"/>
                <w:szCs w:val="20"/>
              </w:rPr>
              <w:t>wyrazów sumy algebraicznej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porządkuje </w:t>
            </w:r>
            <w:r>
              <w:rPr>
                <w:sz w:val="20"/>
                <w:szCs w:val="20"/>
              </w:rPr>
              <w:t>wyrazy sumy algebraicznej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wskazuje wyrazy podobne w sumie algebraicznej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redukuje wyrazy podobne w sumie algebraicznej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dodaje proste sumy algebraiczne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rPr>
                <w:bCs/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mnoży sumy algebraiczne przez </w:t>
            </w:r>
            <w:r>
              <w:rPr>
                <w:sz w:val="20"/>
                <w:szCs w:val="20"/>
              </w:rPr>
              <w:t>liczby i zmienne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wykorzystuje wyrażenia algebraiczne w zadaniach dotyczących obliczeń procentowych, w tym </w:t>
            </w:r>
            <w:r w:rsidRPr="0012583C">
              <w:rPr>
                <w:sz w:val="20"/>
                <w:szCs w:val="20"/>
              </w:rPr>
              <w:lastRenderedPageBreak/>
              <w:t>wielokrotnych podwyżek i obniżek cen</w:t>
            </w:r>
          </w:p>
        </w:tc>
      </w:tr>
      <w:tr w:rsidR="00BC0710" w:rsidRPr="0012583C" w:rsidTr="00BC0710">
        <w:tc>
          <w:tcPr>
            <w:tcW w:w="409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8853" w:type="dxa"/>
          </w:tcPr>
          <w:p w:rsidR="00BC0710" w:rsidRPr="0012583C" w:rsidRDefault="00BC0710" w:rsidP="00BC0710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rozwiązuje proste zadania tekstowe na porównywanie ilorazowe z wykorzystaniem procentów i wyrażeń algebraicznych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oblicza wartość liczbową bardziej złożonego wyrażenia algebraicznego</w:t>
            </w:r>
          </w:p>
        </w:tc>
      </w:tr>
      <w:tr w:rsidR="007356CD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zależności przedstawione w zadaniach w postaci wyrażeń</w:t>
            </w:r>
            <w:r w:rsidR="007356CD">
              <w:rPr>
                <w:sz w:val="20"/>
                <w:szCs w:val="20"/>
              </w:rPr>
              <w:t xml:space="preserve"> algebraicznych kilku zmiennych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rozwiązania bardziej złożonych zadań w postaci wyrażeń algebraicznych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posługuje się wyrażeniami algebraicznymi przy zadaniach geometrycznych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posługuje się wyrażeniami algebraicznymi przy zadaniach wymagających obliczeń pieniężnych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7356CD" w:rsidP="0003446A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9D4B59" w:rsidRPr="00E04C36">
              <w:rPr>
                <w:rFonts w:ascii="Times New Roman" w:hAnsi="Times New Roman"/>
                <w:sz w:val="20"/>
                <w:szCs w:val="20"/>
              </w:rPr>
              <w:t>azywa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zapisuje</w:t>
            </w:r>
            <w:r w:rsidR="009D4B59" w:rsidRPr="00E04C36">
              <w:rPr>
                <w:rFonts w:ascii="Times New Roman" w:hAnsi="Times New Roman"/>
                <w:sz w:val="20"/>
                <w:szCs w:val="20"/>
              </w:rPr>
              <w:t xml:space="preserve"> bardziej złożone wyrażenia algebraiczne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porządkuje wyrażenia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algebraiczne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>odejmuje sumy algebraiczne, także w wyrażeniach zawierających nawiasy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zapisuje związki między wielkościami za pomocą sum algebraicznych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wykorzystuje mnożenie sumy algebraicznej przez </w:t>
            </w:r>
            <w:r>
              <w:rPr>
                <w:sz w:val="20"/>
                <w:szCs w:val="20"/>
              </w:rPr>
              <w:t>liczby i zmienne</w:t>
            </w:r>
            <w:r w:rsidRPr="00E04C36">
              <w:rPr>
                <w:sz w:val="20"/>
                <w:szCs w:val="20"/>
              </w:rPr>
              <w:t xml:space="preserve"> w bardziej złożonych zadaniach geometrycznych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ind w:right="1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bardziej złożone zadania tekstowe na porównywanie ilorazowe i różnicowe z wykorzystaniem procentów i wyrażeń algebraicznych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RÓWNANIA</w:t>
      </w:r>
    </w:p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7356CD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odgaduje</w:t>
            </w:r>
            <w:r w:rsidR="009D4B59" w:rsidRPr="00E04C36">
              <w:rPr>
                <w:sz w:val="20"/>
                <w:szCs w:val="20"/>
              </w:rPr>
              <w:t xml:space="preserve"> rozwiązanie</w:t>
            </w:r>
            <w:r>
              <w:rPr>
                <w:sz w:val="20"/>
                <w:szCs w:val="20"/>
              </w:rPr>
              <w:t xml:space="preserve"> prostego</w:t>
            </w:r>
            <w:r w:rsidR="009D4B59" w:rsidRPr="00E04C36">
              <w:rPr>
                <w:sz w:val="20"/>
                <w:szCs w:val="20"/>
              </w:rPr>
              <w:t xml:space="preserve"> równania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9D4B59" w:rsidRPr="00E04C36" w:rsidTr="00A30C7E">
        <w:tc>
          <w:tcPr>
            <w:tcW w:w="40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sprawdza liczbę rozwiązań równania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równania równoważne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 liniowe z jedną niewiadomą</w:t>
            </w:r>
            <w:r>
              <w:rPr>
                <w:sz w:val="20"/>
                <w:szCs w:val="20"/>
              </w:rPr>
              <w:t xml:space="preserve"> metodą równań</w:t>
            </w:r>
            <w:r w:rsidRPr="00E04C36">
              <w:rPr>
                <w:sz w:val="20"/>
                <w:szCs w:val="20"/>
              </w:rPr>
              <w:t> równoważn</w:t>
            </w:r>
            <w:r>
              <w:rPr>
                <w:sz w:val="20"/>
                <w:szCs w:val="20"/>
              </w:rPr>
              <w:t>ych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analizuje treść zadania i oznacza niewiadomą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układa równania wynikające z treści zadania, rozwiązuje je i podaje odpowiedź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pStyle w:val="Tekstpodstawowywcity"/>
              <w:ind w:firstLine="0"/>
            </w:pPr>
            <w:r w:rsidRPr="00E04C36">
              <w:t xml:space="preserve">rozwiązuje proste zadania tekstowe z treścią geometryczną za pomocą równań pierwszego stopnia z jedną niewiadomą 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rozwiązuje proste zadania tekstowe z obliczeniami procentowymi za pomocą równań pierwszego stopnia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jedną niewiadomą 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geometrycznych</w:t>
            </w:r>
          </w:p>
        </w:tc>
      </w:tr>
      <w:tr w:rsidR="00A30C7E" w:rsidRPr="00E04C36" w:rsidTr="00A30C7E">
        <w:tc>
          <w:tcPr>
            <w:tcW w:w="409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A30C7E" w:rsidRPr="00E04C36" w:rsidRDefault="00A30C7E" w:rsidP="00A30C7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przekształca proste wzory, aby wyznaczyć </w:t>
            </w:r>
            <w:r>
              <w:rPr>
                <w:sz w:val="20"/>
                <w:szCs w:val="20"/>
              </w:rPr>
              <w:t>wskazaną</w:t>
            </w:r>
            <w:r w:rsidRPr="00E04C36">
              <w:rPr>
                <w:sz w:val="20"/>
                <w:szCs w:val="20"/>
              </w:rPr>
              <w:t xml:space="preserve"> wielkość </w:t>
            </w:r>
            <w:r>
              <w:rPr>
                <w:sz w:val="20"/>
                <w:szCs w:val="20"/>
              </w:rPr>
              <w:t>z</w:t>
            </w:r>
            <w:r w:rsidRPr="00E04C36">
              <w:rPr>
                <w:sz w:val="20"/>
                <w:szCs w:val="20"/>
              </w:rPr>
              <w:t xml:space="preserve"> wzor</w:t>
            </w:r>
            <w:r>
              <w:rPr>
                <w:sz w:val="20"/>
                <w:szCs w:val="20"/>
              </w:rPr>
              <w:t>ów</w:t>
            </w:r>
            <w:r w:rsidRPr="00E04C36">
              <w:rPr>
                <w:sz w:val="20"/>
                <w:szCs w:val="20"/>
              </w:rPr>
              <w:t xml:space="preserve"> fizycznych</w:t>
            </w:r>
          </w:p>
        </w:tc>
      </w:tr>
    </w:tbl>
    <w:p w:rsidR="009D4B59" w:rsidRDefault="009D4B59" w:rsidP="0003446A">
      <w:pPr>
        <w:rPr>
          <w:sz w:val="20"/>
          <w:szCs w:val="20"/>
        </w:rPr>
      </w:pPr>
    </w:p>
    <w:p w:rsidR="00D33950" w:rsidRPr="00E04C36" w:rsidRDefault="00D33950" w:rsidP="0003446A">
      <w:pPr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D4B59" w:rsidRPr="00E04C36" w:rsidTr="00507559">
        <w:tc>
          <w:tcPr>
            <w:tcW w:w="354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C726D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u</w:t>
            </w:r>
            <w:r w:rsidR="009D4B59" w:rsidRPr="00E04C36">
              <w:rPr>
                <w:sz w:val="20"/>
                <w:szCs w:val="20"/>
              </w:rPr>
              <w:t>kłada</w:t>
            </w:r>
            <w:r w:rsidRPr="00E04C36">
              <w:rPr>
                <w:sz w:val="20"/>
                <w:szCs w:val="20"/>
              </w:rPr>
              <w:t xml:space="preserve"> i rozwiązuje</w:t>
            </w:r>
            <w:r w:rsidR="009D4B59" w:rsidRPr="00E04C36">
              <w:rPr>
                <w:sz w:val="20"/>
                <w:szCs w:val="20"/>
              </w:rPr>
              <w:t xml:space="preserve"> równanie do bardziej złożonego zadania tekstowego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</w:t>
            </w:r>
            <w:r w:rsidR="00BB4701"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, które </w:t>
            </w:r>
            <w:r w:rsidR="00BB4701">
              <w:rPr>
                <w:sz w:val="20"/>
                <w:szCs w:val="20"/>
              </w:rPr>
              <w:t>jest</w:t>
            </w:r>
            <w:r w:rsidR="00BB4701" w:rsidRPr="00E04C36"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>iloczynem czynników liniowych</w:t>
            </w:r>
          </w:p>
        </w:tc>
      </w:tr>
      <w:tr w:rsidR="00C726DE" w:rsidRPr="00E04C36" w:rsidTr="00507559">
        <w:tc>
          <w:tcPr>
            <w:tcW w:w="354" w:type="dxa"/>
          </w:tcPr>
          <w:p w:rsidR="00C726DE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C726DE" w:rsidRPr="00E04C36" w:rsidRDefault="00C726DE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interpretuje rozwiązanie równania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równania, które po prostych przekształceniach wyrażeń algebraicznych sprowadzają się do</w:t>
            </w:r>
            <w:r w:rsidR="00A77680"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równań pierwszego stopnia z jedną niewiadomą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podniesionym stopniu trudności za pomocą równań pierwszego stopnia z</w:t>
            </w:r>
            <w:r w:rsidR="00594BCF"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 xml:space="preserve">jedną niewiadomą </w:t>
            </w:r>
          </w:p>
        </w:tc>
      </w:tr>
      <w:tr w:rsidR="00E04C36" w:rsidRPr="00E04C36" w:rsidTr="00507559"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C726DE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</w:t>
            </w:r>
            <w:r w:rsidR="009D4B59" w:rsidRPr="00E04C36">
              <w:rPr>
                <w:sz w:val="20"/>
                <w:szCs w:val="20"/>
              </w:rPr>
              <w:t>ozwiązuje</w:t>
            </w:r>
            <w:r w:rsidRPr="00E04C36">
              <w:rPr>
                <w:sz w:val="20"/>
                <w:szCs w:val="20"/>
              </w:rPr>
              <w:t xml:space="preserve"> </w:t>
            </w:r>
            <w:r w:rsidR="00632528" w:rsidRPr="00E04C36">
              <w:rPr>
                <w:sz w:val="20"/>
                <w:szCs w:val="20"/>
              </w:rPr>
              <w:t xml:space="preserve">zadania </w:t>
            </w:r>
            <w:r w:rsidRPr="00E04C36">
              <w:rPr>
                <w:sz w:val="20"/>
                <w:szCs w:val="20"/>
              </w:rPr>
              <w:t>geometryczne</w:t>
            </w:r>
            <w:r w:rsidR="009D4B59" w:rsidRPr="00E04C36">
              <w:rPr>
                <w:sz w:val="20"/>
                <w:szCs w:val="20"/>
              </w:rPr>
              <w:t xml:space="preserve"> o podniesionym stopniu trudności za pomocą równań pierwszego stopnia z jedną </w:t>
            </w:r>
            <w:r w:rsidRPr="00E04C36">
              <w:rPr>
                <w:sz w:val="20"/>
                <w:szCs w:val="20"/>
              </w:rPr>
              <w:t>niewiadomą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rozwiązuje zadania tekstowe o podniesionym stopniu trudności </w:t>
            </w:r>
            <w:r w:rsidR="00BB4701">
              <w:rPr>
                <w:sz w:val="20"/>
                <w:szCs w:val="20"/>
              </w:rPr>
              <w:t>dotyczące</w:t>
            </w:r>
            <w:r w:rsidR="00BB4701" w:rsidRPr="00E04C36">
              <w:rPr>
                <w:sz w:val="20"/>
                <w:szCs w:val="20"/>
              </w:rPr>
              <w:t xml:space="preserve"> oblicze</w:t>
            </w:r>
            <w:r w:rsidR="00BB4701">
              <w:rPr>
                <w:sz w:val="20"/>
                <w:szCs w:val="20"/>
              </w:rPr>
              <w:t>ń</w:t>
            </w:r>
            <w:r w:rsidR="00BB4701" w:rsidRPr="00E04C36">
              <w:rPr>
                <w:sz w:val="20"/>
                <w:szCs w:val="20"/>
              </w:rPr>
              <w:t xml:space="preserve"> procentowy</w:t>
            </w:r>
            <w:r w:rsidR="00BB4701">
              <w:rPr>
                <w:sz w:val="20"/>
                <w:szCs w:val="20"/>
              </w:rPr>
              <w:t>ch</w:t>
            </w:r>
            <w:r w:rsidR="00BB4701" w:rsidRPr="00E04C36"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>za</w:t>
            </w:r>
            <w:r w:rsidR="00BB4701"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pomocą równań pierwszego stopnia z</w:t>
            </w:r>
            <w:r w:rsidR="00594BCF">
              <w:rPr>
                <w:sz w:val="20"/>
                <w:szCs w:val="20"/>
              </w:rPr>
              <w:t> </w:t>
            </w:r>
            <w:r w:rsidRPr="00E04C36">
              <w:rPr>
                <w:sz w:val="20"/>
                <w:szCs w:val="20"/>
              </w:rPr>
              <w:t>jedną niewiadomą</w:t>
            </w:r>
          </w:p>
        </w:tc>
      </w:tr>
      <w:tr w:rsidR="009D4B59" w:rsidRPr="00E04C36" w:rsidTr="00507559">
        <w:trPr>
          <w:trHeight w:val="238"/>
        </w:trPr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BB4701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rozwiązywaniu</w:t>
            </w:r>
            <w:r w:rsidR="009D4B59" w:rsidRPr="00E04C36">
              <w:rPr>
                <w:sz w:val="20"/>
                <w:szCs w:val="20"/>
              </w:rPr>
              <w:t xml:space="preserve"> zadania tekstowego przekształca wzory, aby wyznaczyć zadaną wielkość we wzorach fizycznych 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BB4701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przy przekształcaniu wzorów podaje konieczne założenia</w:t>
            </w:r>
          </w:p>
        </w:tc>
      </w:tr>
    </w:tbl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VI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TRÓJKĄTY PROSTOKĄTNE</w:t>
      </w:r>
    </w:p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zapisuje zależności pomiędzy bokami trójkąta prostokątnego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oblicza długość jednego z boków trójkąta prostokątnego, mając dane długości dwóch pozostałych boków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pacing w:val="-4"/>
                <w:sz w:val="20"/>
                <w:szCs w:val="20"/>
              </w:rPr>
              <w:t>oblicza pole jednego z kwadratów zbudowanych na bokach trójkąta prostokątnego, mając dane pola dwóch pozostałych kwadratów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 xml:space="preserve">stosuje w prostych przypadkach </w:t>
            </w:r>
            <w:r w:rsidRPr="0012583C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 xml:space="preserve">rozwiązuje proste zadania tekstowe z wykorzystaniem twierdzenia Pitagorasa 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bCs/>
                <w:sz w:val="20"/>
                <w:szCs w:val="20"/>
              </w:rPr>
            </w:pPr>
            <w:r w:rsidRPr="0012583C">
              <w:rPr>
                <w:bCs/>
                <w:sz w:val="20"/>
                <w:szCs w:val="20"/>
              </w:rPr>
              <w:t>stosuje twierdzenie Pitagorasa do rozwiązywania prostych zadań dotyczących czworokątów</w:t>
            </w:r>
          </w:p>
        </w:tc>
      </w:tr>
      <w:tr w:rsidR="00632528" w:rsidRPr="0012583C" w:rsidTr="00632528">
        <w:trPr>
          <w:trHeight w:val="238"/>
        </w:trPr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wzory na pole trójkąta, prostokąta, kwadratu, równoległoboku, rombu, trapezu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 prostych sytuacjach wzory na pola figur do wyznaczania długości odcinków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długość przekątnej kwadratu, mając dan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2583C">
              <w:rPr>
                <w:rFonts w:ascii="Times New Roman" w:hAnsi="Times New Roman"/>
                <w:sz w:val="20"/>
                <w:szCs w:val="20"/>
              </w:rPr>
              <w:t xml:space="preserve"> długość boku kwadratu lub jego obwód 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kwadratu, mając daną długość jego przekątnej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stosuje poznane wzory do rozwiązywania prostych zadań tekstowych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83C">
              <w:rPr>
                <w:rFonts w:ascii="Times New Roman" w:hAnsi="Times New Roman"/>
                <w:sz w:val="20"/>
                <w:szCs w:val="20"/>
              </w:rPr>
              <w:t>oblicza wysokość trójkąta równobocznego, mając daną długość jego boku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długość boku trójkąta równobocznego, mając daną jego wysokość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oblicza pole i obwód trójkąta równobocznego, mając dan</w:t>
            </w:r>
            <w:r>
              <w:rPr>
                <w:sz w:val="20"/>
                <w:szCs w:val="20"/>
              </w:rPr>
              <w:t>e</w:t>
            </w:r>
            <w:r w:rsidRPr="0012583C">
              <w:rPr>
                <w:sz w:val="20"/>
                <w:szCs w:val="20"/>
              </w:rPr>
              <w:t xml:space="preserve"> długość boku lub wysokość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sz w:val="20"/>
                <w:szCs w:val="20"/>
              </w:rPr>
            </w:pPr>
            <w:r w:rsidRPr="0012583C">
              <w:rPr>
                <w:spacing w:val="-4"/>
                <w:sz w:val="20"/>
                <w:szCs w:val="20"/>
              </w:rPr>
              <w:t>wyznacza długości pozostałych boków t</w:t>
            </w:r>
            <w:r w:rsidRPr="0012583C">
              <w:rPr>
                <w:sz w:val="20"/>
                <w:szCs w:val="20"/>
              </w:rPr>
              <w:t>rójkąta o 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, mając </w:t>
            </w:r>
            <w:r>
              <w:rPr>
                <w:sz w:val="20"/>
                <w:szCs w:val="20"/>
              </w:rPr>
              <w:t xml:space="preserve">daną </w:t>
            </w:r>
            <w:r w:rsidRPr="0012583C">
              <w:rPr>
                <w:sz w:val="20"/>
                <w:szCs w:val="20"/>
              </w:rPr>
              <w:t>długość jednego z jego boków</w:t>
            </w:r>
          </w:p>
        </w:tc>
      </w:tr>
      <w:tr w:rsidR="00632528" w:rsidRPr="0012583C" w:rsidTr="00632528">
        <w:tc>
          <w:tcPr>
            <w:tcW w:w="409" w:type="dxa"/>
          </w:tcPr>
          <w:p w:rsidR="00632528" w:rsidRPr="0012583C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632528" w:rsidRPr="0012583C" w:rsidRDefault="00632528" w:rsidP="00632528">
            <w:pPr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stosuje własności trójkątów o kątach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45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</w:t>
            </w:r>
            <w:r w:rsidRPr="0012583C">
              <w:rPr>
                <w:position w:val="-10"/>
                <w:sz w:val="20"/>
                <w:szCs w:val="20"/>
              </w:rPr>
              <w:t xml:space="preserve"> </w:t>
            </w:r>
            <w:r w:rsidRPr="0012583C">
              <w:rPr>
                <w:sz w:val="20"/>
                <w:szCs w:val="20"/>
              </w:rPr>
              <w:t>lub 30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60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>, 90</w:t>
            </w:r>
            <w:r w:rsidRPr="0012583C">
              <w:rPr>
                <w:sz w:val="20"/>
                <w:szCs w:val="20"/>
              </w:rPr>
              <w:sym w:font="Symbol" w:char="F0B0"/>
            </w:r>
            <w:r w:rsidRPr="0012583C">
              <w:rPr>
                <w:sz w:val="20"/>
                <w:szCs w:val="20"/>
              </w:rPr>
              <w:t xml:space="preserve"> do rozwiązywania prostych zadań tekstowych</w:t>
            </w:r>
          </w:p>
        </w:tc>
      </w:tr>
    </w:tbl>
    <w:p w:rsidR="00324883" w:rsidRDefault="00324883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9D4B59" w:rsidRPr="00E04C36" w:rsidTr="00507559">
        <w:tc>
          <w:tcPr>
            <w:tcW w:w="354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04C36">
              <w:rPr>
                <w:spacing w:val="-4"/>
                <w:sz w:val="20"/>
                <w:szCs w:val="20"/>
              </w:rPr>
              <w:t xml:space="preserve">stosuje w złożonych przypadkach </w:t>
            </w:r>
            <w:r w:rsidRPr="00E04C36">
              <w:rPr>
                <w:sz w:val="20"/>
                <w:szCs w:val="20"/>
              </w:rPr>
              <w:t>twierdzenie Pitagorasa do obliczania obwodów i pól prostokątów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rozwiązuje zadania tekstowe o podwyższonym stopniu trudności z wykorzystaniem twierdzenia Pitagorasa</w:t>
            </w:r>
          </w:p>
        </w:tc>
      </w:tr>
      <w:tr w:rsidR="009D4B59" w:rsidRPr="00E04C36" w:rsidTr="00507559">
        <w:tc>
          <w:tcPr>
            <w:tcW w:w="354" w:type="dxa"/>
          </w:tcPr>
          <w:p w:rsidR="009D4B59" w:rsidRPr="00E04C36" w:rsidRDefault="000C56D2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9D4B59" w:rsidRPr="00E04C36" w:rsidRDefault="009D4B59" w:rsidP="0003446A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stosuje twierdzenie Pitagorasa do rozwiązywania zadań </w:t>
            </w:r>
            <w:r w:rsidRPr="00E04C36">
              <w:rPr>
                <w:sz w:val="20"/>
                <w:szCs w:val="20"/>
              </w:rPr>
              <w:t xml:space="preserve">o podwyższonym stopniu trudności </w:t>
            </w:r>
            <w:r w:rsidRPr="00E04C36">
              <w:rPr>
                <w:bCs/>
                <w:sz w:val="20"/>
                <w:szCs w:val="20"/>
              </w:rPr>
              <w:t>dotyczących czworokątów</w:t>
            </w:r>
          </w:p>
        </w:tc>
      </w:tr>
      <w:tr w:rsidR="00632528" w:rsidRPr="00E04C36" w:rsidTr="00507559">
        <w:tc>
          <w:tcPr>
            <w:tcW w:w="354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</w:tcPr>
          <w:p w:rsidR="00632528" w:rsidRPr="00E04C36" w:rsidRDefault="00632528" w:rsidP="006325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długość boku trójkąta równobocznego o danym polu</w:t>
            </w:r>
          </w:p>
        </w:tc>
      </w:tr>
      <w:tr w:rsidR="00632528" w:rsidRPr="00E04C36" w:rsidTr="00507559">
        <w:tc>
          <w:tcPr>
            <w:tcW w:w="354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stosuje wzory na pola figur do wyznaczania długości odcinków</w:t>
            </w:r>
          </w:p>
        </w:tc>
      </w:tr>
      <w:tr w:rsidR="00632528" w:rsidRPr="00E04C36" w:rsidTr="00507559">
        <w:tc>
          <w:tcPr>
            <w:tcW w:w="354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:rsidR="00632528" w:rsidRPr="00E04C36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wyprowadza poznane wzory</w:t>
            </w:r>
          </w:p>
        </w:tc>
      </w:tr>
      <w:tr w:rsidR="00632528" w:rsidRPr="00E04C36" w:rsidTr="00507559">
        <w:trPr>
          <w:trHeight w:val="238"/>
        </w:trPr>
        <w:tc>
          <w:tcPr>
            <w:tcW w:w="354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:rsidR="00632528" w:rsidRPr="00E04C36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poznane wzory do rozwiązywania zadań tekstowych o podwyższonym stopniu trudności</w:t>
            </w:r>
          </w:p>
        </w:tc>
      </w:tr>
      <w:tr w:rsidR="00632528" w:rsidRPr="00E04C36" w:rsidTr="00507559">
        <w:tc>
          <w:tcPr>
            <w:tcW w:w="354" w:type="dxa"/>
          </w:tcPr>
          <w:p w:rsidR="00632528" w:rsidRPr="00E04C36" w:rsidRDefault="00632528" w:rsidP="0063252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:rsidR="00632528" w:rsidRPr="00E04C36" w:rsidRDefault="00632528" w:rsidP="00632528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stosuje własności trójkątów o kątach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45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lub 30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60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>, 90</w:t>
            </w:r>
            <w:r w:rsidRPr="00E04C36">
              <w:rPr>
                <w:rFonts w:ascii="Times New Roman" w:hAnsi="Times New Roman"/>
                <w:sz w:val="20"/>
                <w:szCs w:val="20"/>
              </w:rPr>
              <w:sym w:font="Symbol" w:char="F0B0"/>
            </w:r>
            <w:r w:rsidRPr="00E04C36">
              <w:rPr>
                <w:rFonts w:ascii="Times New Roman" w:hAnsi="Times New Roman"/>
                <w:sz w:val="20"/>
                <w:szCs w:val="20"/>
              </w:rPr>
              <w:t xml:space="preserve"> do rozwiązywania zadań tekstowych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04C36">
              <w:rPr>
                <w:rFonts w:ascii="Times New Roman" w:hAnsi="Times New Roman"/>
                <w:sz w:val="20"/>
                <w:szCs w:val="20"/>
              </w:rPr>
              <w:t>podwyższonym stopniu trudności</w:t>
            </w:r>
          </w:p>
        </w:tc>
      </w:tr>
    </w:tbl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D33950" w:rsidRDefault="00D33950" w:rsidP="0003446A">
      <w:pPr>
        <w:spacing w:line="276" w:lineRule="auto"/>
        <w:jc w:val="both"/>
        <w:rPr>
          <w:sz w:val="20"/>
          <w:szCs w:val="20"/>
        </w:rPr>
      </w:pPr>
    </w:p>
    <w:p w:rsidR="00D33950" w:rsidRDefault="00D33950" w:rsidP="0003446A">
      <w:pPr>
        <w:spacing w:line="276" w:lineRule="auto"/>
        <w:jc w:val="both"/>
        <w:rPr>
          <w:sz w:val="20"/>
          <w:szCs w:val="20"/>
        </w:rPr>
      </w:pPr>
    </w:p>
    <w:p w:rsidR="003F7F0E" w:rsidRDefault="003F7F0E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rPr>
          <w:b/>
          <w:bCs/>
          <w:sz w:val="20"/>
          <w:szCs w:val="20"/>
        </w:rPr>
      </w:pPr>
      <w:r w:rsidRPr="00E04C36">
        <w:rPr>
          <w:b/>
          <w:bCs/>
          <w:sz w:val="20"/>
          <w:szCs w:val="20"/>
        </w:rPr>
        <w:t>DZIAŁ VII</w:t>
      </w:r>
      <w:r w:rsidR="003F7F0E">
        <w:rPr>
          <w:b/>
          <w:bCs/>
          <w:sz w:val="20"/>
          <w:szCs w:val="20"/>
        </w:rPr>
        <w:t>.</w:t>
      </w:r>
      <w:r w:rsidRPr="00E04C36">
        <w:rPr>
          <w:b/>
          <w:bCs/>
          <w:sz w:val="20"/>
          <w:szCs w:val="20"/>
        </w:rPr>
        <w:t xml:space="preserve"> UKŁAD WSPÓŁRZĘDNYCH  </w:t>
      </w:r>
    </w:p>
    <w:p w:rsidR="00F04B69" w:rsidRDefault="00F04B69" w:rsidP="0003446A">
      <w:pPr>
        <w:spacing w:line="276" w:lineRule="auto"/>
        <w:jc w:val="both"/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8853"/>
      </w:tblGrid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21632C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przerysowuje</w:t>
            </w:r>
            <w:r w:rsidR="009D4B59" w:rsidRPr="00E04C36">
              <w:rPr>
                <w:sz w:val="20"/>
                <w:szCs w:val="20"/>
              </w:rPr>
              <w:t xml:space="preserve"> figury narysowane na kartce w kratkę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proste równoległe </w:t>
            </w:r>
            <w:r w:rsidR="009F0CF1" w:rsidRPr="00E04C36">
              <w:rPr>
                <w:sz w:val="20"/>
                <w:szCs w:val="20"/>
              </w:rPr>
              <w:t xml:space="preserve">w różnych położeniach </w:t>
            </w:r>
            <w:r w:rsidRPr="00E04C36">
              <w:rPr>
                <w:sz w:val="20"/>
                <w:szCs w:val="20"/>
              </w:rPr>
              <w:t>na kartce w kratkę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różnych położeniach proste prostopadłe</w:t>
            </w:r>
            <w:r w:rsidR="0021632C">
              <w:rPr>
                <w:sz w:val="20"/>
                <w:szCs w:val="20"/>
              </w:rPr>
              <w:t xml:space="preserve"> </w:t>
            </w:r>
            <w:r w:rsidR="0021632C" w:rsidRPr="00E04C36">
              <w:rPr>
                <w:sz w:val="20"/>
                <w:szCs w:val="20"/>
              </w:rPr>
              <w:t>na kartce w kratkę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sz w:val="20"/>
                <w:szCs w:val="20"/>
              </w:rPr>
              <w:t>dokonuje podziału wielokątów na mniejsze wielokąty</w:t>
            </w:r>
            <w:r w:rsidR="009F0CF1">
              <w:rPr>
                <w:rFonts w:ascii="Times New Roman" w:hAnsi="Times New Roman"/>
                <w:sz w:val="20"/>
                <w:szCs w:val="20"/>
              </w:rPr>
              <w:t>,</w:t>
            </w:r>
            <w:r w:rsidR="00C726DE" w:rsidRPr="00E04C36">
              <w:rPr>
                <w:rFonts w:ascii="Times New Roman" w:hAnsi="Times New Roman"/>
                <w:sz w:val="20"/>
                <w:szCs w:val="20"/>
              </w:rPr>
              <w:t xml:space="preserve"> aby obliczyć </w:t>
            </w:r>
            <w:r w:rsidR="009F0CF1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C726DE" w:rsidRPr="00E04C36">
              <w:rPr>
                <w:rFonts w:ascii="Times New Roman" w:hAnsi="Times New Roman"/>
                <w:sz w:val="20"/>
                <w:szCs w:val="20"/>
              </w:rPr>
              <w:t>pole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rysuje prostokątny układ współrzędnych 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rPr>
                <w:bCs/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odczytuje współrzędne punktów zaznaczonych w 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9D4B59" w:rsidRPr="00E04C36" w:rsidTr="00507559">
        <w:trPr>
          <w:trHeight w:val="238"/>
        </w:trPr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rPr>
                <w:bCs/>
                <w:sz w:val="20"/>
                <w:szCs w:val="20"/>
              </w:rPr>
            </w:pPr>
            <w:r w:rsidRPr="00E04C36">
              <w:rPr>
                <w:bCs/>
                <w:sz w:val="20"/>
                <w:szCs w:val="20"/>
              </w:rPr>
              <w:t xml:space="preserve">zaznacza punkty w </w:t>
            </w:r>
            <w:r w:rsidRPr="00E04C36">
              <w:rPr>
                <w:sz w:val="20"/>
                <w:szCs w:val="20"/>
              </w:rPr>
              <w:t>układzie</w:t>
            </w:r>
            <w:r w:rsidRPr="00E04C36">
              <w:rPr>
                <w:bCs/>
                <w:sz w:val="20"/>
                <w:szCs w:val="20"/>
              </w:rPr>
              <w:t xml:space="preserve"> współrzędnych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8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</w:t>
            </w:r>
            <w:r w:rsidR="00C726DE" w:rsidRPr="00E04C36">
              <w:rPr>
                <w:sz w:val="20"/>
                <w:szCs w:val="20"/>
              </w:rPr>
              <w:t xml:space="preserve">narysowanego </w:t>
            </w:r>
            <w:r w:rsidRPr="00E04C36">
              <w:rPr>
                <w:sz w:val="20"/>
                <w:szCs w:val="20"/>
              </w:rPr>
              <w:t>odcinka, którego końce są danymi punktami kratowymi w układzie współrzędnych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9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F0CF1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wykonuje proste obliczenia dotyczące pól</w:t>
            </w:r>
            <w:r w:rsidR="009D4B59" w:rsidRPr="00E04C36">
              <w:rPr>
                <w:bCs/>
                <w:sz w:val="20"/>
                <w:szCs w:val="20"/>
              </w:rPr>
              <w:t xml:space="preserve"> wielokątów, mając dane współrzędne ich wierzchołków</w:t>
            </w:r>
          </w:p>
        </w:tc>
      </w:tr>
      <w:tr w:rsidR="007356CD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10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rozpoznaje w układzie współrzędnych odcinki </w:t>
            </w:r>
            <w:r w:rsidR="0021632C" w:rsidRPr="00E04C36">
              <w:rPr>
                <w:sz w:val="20"/>
                <w:szCs w:val="20"/>
              </w:rPr>
              <w:t>równe</w:t>
            </w:r>
            <w:r w:rsidR="0021632C">
              <w:rPr>
                <w:sz w:val="20"/>
                <w:szCs w:val="20"/>
              </w:rPr>
              <w:t>j długości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rozpoznaje w ukła</w:t>
            </w:r>
            <w:r w:rsidR="007356CD">
              <w:rPr>
                <w:sz w:val="20"/>
                <w:szCs w:val="20"/>
              </w:rPr>
              <w:t>dzie współrzędnych odcinki równoległe</w:t>
            </w:r>
            <w:r w:rsidRPr="00E04C36">
              <w:rPr>
                <w:sz w:val="20"/>
                <w:szCs w:val="20"/>
              </w:rPr>
              <w:t xml:space="preserve"> i prostopadłe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znajduje środek odcinka, którego końce mają dane współrzędne (całkowite lub wymierne) </w:t>
            </w:r>
          </w:p>
        </w:tc>
      </w:tr>
      <w:tr w:rsidR="009D4B59" w:rsidRPr="00E04C36" w:rsidTr="00507559">
        <w:tc>
          <w:tcPr>
            <w:tcW w:w="359" w:type="dxa"/>
          </w:tcPr>
          <w:p w:rsidR="009D4B59" w:rsidRPr="00E04C36" w:rsidRDefault="009D4B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9D4B59" w:rsidRPr="00E04C36" w:rsidRDefault="009D4B59" w:rsidP="0003446A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oblicza długość odcinka, którego końce są danymi punktami kratowymi </w:t>
            </w:r>
            <w:r w:rsidR="007356CD">
              <w:rPr>
                <w:sz w:val="20"/>
                <w:szCs w:val="20"/>
              </w:rPr>
              <w:t>w układzie współrzędnych</w:t>
            </w:r>
            <w:r w:rsidRPr="00E04C36">
              <w:rPr>
                <w:sz w:val="20"/>
                <w:szCs w:val="20"/>
              </w:rPr>
              <w:t xml:space="preserve"> </w:t>
            </w:r>
          </w:p>
        </w:tc>
      </w:tr>
      <w:tr w:rsidR="00E04C36" w:rsidRPr="00E04C36" w:rsidTr="00507559">
        <w:tc>
          <w:tcPr>
            <w:tcW w:w="359" w:type="dxa"/>
          </w:tcPr>
          <w:p w:rsidR="00C726DE" w:rsidRPr="00E04C36" w:rsidRDefault="00C726DE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:rsidR="00C726DE" w:rsidRPr="00E04C36" w:rsidRDefault="00C726DE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 xml:space="preserve">dla danych punktów kratowych </w:t>
            </w:r>
            <w:r w:rsidRPr="00E04C36">
              <w:rPr>
                <w:i/>
                <w:iCs/>
                <w:sz w:val="20"/>
                <w:szCs w:val="20"/>
              </w:rPr>
              <w:t xml:space="preserve">A </w:t>
            </w:r>
            <w:r w:rsidRPr="00E04C36">
              <w:rPr>
                <w:sz w:val="20"/>
                <w:szCs w:val="20"/>
              </w:rPr>
              <w:t xml:space="preserve">i </w:t>
            </w:r>
            <w:r w:rsidRPr="00E04C36">
              <w:rPr>
                <w:i/>
                <w:iCs/>
                <w:sz w:val="20"/>
                <w:szCs w:val="20"/>
              </w:rPr>
              <w:t xml:space="preserve">B </w:t>
            </w:r>
            <w:r w:rsidRPr="00E04C36">
              <w:rPr>
                <w:sz w:val="20"/>
                <w:szCs w:val="20"/>
              </w:rPr>
              <w:t>znajduje inne punkty kratowe należące do</w:t>
            </w:r>
            <w:r w:rsidR="009F0CF1"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 xml:space="preserve">prostej </w:t>
            </w:r>
            <w:r w:rsidRPr="00E04C36">
              <w:rPr>
                <w:i/>
                <w:iCs/>
                <w:sz w:val="20"/>
                <w:szCs w:val="20"/>
              </w:rPr>
              <w:t>AB</w:t>
            </w:r>
          </w:p>
        </w:tc>
      </w:tr>
    </w:tbl>
    <w:p w:rsidR="00F04B69" w:rsidRDefault="00F04B69" w:rsidP="0003446A">
      <w:pPr>
        <w:rPr>
          <w:sz w:val="20"/>
          <w:szCs w:val="20"/>
        </w:rPr>
      </w:pPr>
    </w:p>
    <w:p w:rsidR="009D4B59" w:rsidRPr="00E04C36" w:rsidRDefault="009D4B59" w:rsidP="0003446A">
      <w:pPr>
        <w:spacing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8858"/>
      </w:tblGrid>
      <w:tr w:rsidR="00507559" w:rsidRPr="00E04C36" w:rsidTr="00507559">
        <w:tc>
          <w:tcPr>
            <w:tcW w:w="354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figury na kartce w kratkę zgodnie z instrukcją</w:t>
            </w:r>
          </w:p>
        </w:tc>
      </w:tr>
      <w:tr w:rsidR="00507559" w:rsidRPr="00E04C36" w:rsidTr="00507559">
        <w:tc>
          <w:tcPr>
            <w:tcW w:w="354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07559" w:rsidRPr="00E04C36" w:rsidRDefault="007356CD" w:rsidP="00034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wielokąty</w:t>
            </w:r>
            <w:r w:rsidR="00507559" w:rsidRPr="00E04C36">
              <w:rPr>
                <w:sz w:val="20"/>
                <w:szCs w:val="20"/>
              </w:rPr>
              <w:t xml:space="preserve"> do większych wielokątów</w:t>
            </w:r>
            <w:r w:rsidR="009F0CF1">
              <w:rPr>
                <w:sz w:val="20"/>
                <w:szCs w:val="20"/>
              </w:rPr>
              <w:t>,</w:t>
            </w:r>
            <w:r w:rsidR="00C726DE" w:rsidRPr="00E04C36">
              <w:rPr>
                <w:sz w:val="20"/>
                <w:szCs w:val="20"/>
              </w:rPr>
              <w:t xml:space="preserve"> aby obliczyć pole</w:t>
            </w:r>
          </w:p>
        </w:tc>
      </w:tr>
      <w:tr w:rsidR="00507559" w:rsidRPr="00E04C36" w:rsidTr="00507559">
        <w:tc>
          <w:tcPr>
            <w:tcW w:w="354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rysuje w układzie współrzędnych figury o podanych współrzędnych wierzchołków</w:t>
            </w:r>
          </w:p>
        </w:tc>
      </w:tr>
      <w:tr w:rsidR="00507559" w:rsidRPr="00E04C36" w:rsidTr="00507559">
        <w:tc>
          <w:tcPr>
            <w:tcW w:w="354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07559" w:rsidRPr="00E04C36" w:rsidRDefault="00082FDB" w:rsidP="000344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4C36">
              <w:rPr>
                <w:rFonts w:ascii="Times New Roman" w:hAnsi="Times New Roman"/>
                <w:bCs/>
                <w:sz w:val="20"/>
                <w:szCs w:val="20"/>
              </w:rPr>
              <w:t xml:space="preserve">w złożonych przypadkach </w:t>
            </w:r>
            <w:r w:rsidR="00507559" w:rsidRPr="00E04C36">
              <w:rPr>
                <w:rFonts w:ascii="Times New Roman" w:hAnsi="Times New Roman"/>
                <w:bCs/>
                <w:sz w:val="20"/>
                <w:szCs w:val="20"/>
              </w:rPr>
              <w:t>oblicza pola wielokątów, mając dane współrzędne ich wierzchołków</w:t>
            </w:r>
          </w:p>
        </w:tc>
      </w:tr>
      <w:tr w:rsidR="00507559" w:rsidRPr="00E04C36" w:rsidTr="00507559">
        <w:tc>
          <w:tcPr>
            <w:tcW w:w="354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 w:rsidR="003379C1">
              <w:rPr>
                <w:sz w:val="20"/>
                <w:szCs w:val="20"/>
              </w:rPr>
              <w:t>.</w:t>
            </w:r>
          </w:p>
        </w:tc>
        <w:tc>
          <w:tcPr>
            <w:tcW w:w="8858" w:type="dxa"/>
          </w:tcPr>
          <w:p w:rsidR="00507559" w:rsidRPr="00E04C36" w:rsidRDefault="00507559" w:rsidP="0003446A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znajduje współrzędne drugiego końca odcinka, gdy dan</w:t>
            </w:r>
            <w:r w:rsidR="00082FDB">
              <w:rPr>
                <w:sz w:val="20"/>
                <w:szCs w:val="20"/>
              </w:rPr>
              <w:t>e</w:t>
            </w:r>
            <w:r w:rsidRPr="00E04C36">
              <w:rPr>
                <w:sz w:val="20"/>
                <w:szCs w:val="20"/>
              </w:rPr>
              <w:t xml:space="preserve"> </w:t>
            </w:r>
            <w:r w:rsidR="00082FDB">
              <w:rPr>
                <w:sz w:val="20"/>
                <w:szCs w:val="20"/>
              </w:rPr>
              <w:t>są</w:t>
            </w:r>
            <w:r w:rsidR="00082FDB" w:rsidRPr="00E04C36">
              <w:rPr>
                <w:sz w:val="20"/>
                <w:szCs w:val="20"/>
              </w:rPr>
              <w:t xml:space="preserve"> </w:t>
            </w:r>
            <w:r w:rsidRPr="00E04C36">
              <w:rPr>
                <w:sz w:val="20"/>
                <w:szCs w:val="20"/>
              </w:rPr>
              <w:t>jeden koniec i środek</w:t>
            </w:r>
          </w:p>
        </w:tc>
      </w:tr>
    </w:tbl>
    <w:p w:rsidR="00507559" w:rsidRPr="00E04C36" w:rsidRDefault="00507559" w:rsidP="00324883">
      <w:pPr>
        <w:spacing w:line="276" w:lineRule="auto"/>
        <w:jc w:val="both"/>
        <w:rPr>
          <w:sz w:val="20"/>
          <w:szCs w:val="20"/>
        </w:rPr>
      </w:pPr>
    </w:p>
    <w:sectPr w:rsidR="00507559" w:rsidRPr="00E04C36" w:rsidSect="002B367A">
      <w:footerReference w:type="default" r:id="rId7"/>
      <w:pgSz w:w="11906" w:h="16838" w:code="9"/>
      <w:pgMar w:top="1440" w:right="1080" w:bottom="1440" w:left="1080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B8" w:rsidRDefault="008211B8" w:rsidP="00922B06">
      <w:r>
        <w:separator/>
      </w:r>
    </w:p>
  </w:endnote>
  <w:endnote w:type="continuationSeparator" w:id="1">
    <w:p w:rsidR="008211B8" w:rsidRDefault="008211B8" w:rsidP="0092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0E" w:rsidRDefault="00CB684C" w:rsidP="003F7F0E">
    <w:pPr>
      <w:pStyle w:val="Stopka"/>
      <w:jc w:val="center"/>
    </w:pPr>
    <w:fldSimple w:instr="PAGE   \* MERGEFORMAT">
      <w:r w:rsidR="00607628">
        <w:rPr>
          <w:noProof/>
        </w:rPr>
        <w:t>6</w:t>
      </w:r>
    </w:fldSimple>
  </w:p>
  <w:p w:rsidR="00324883" w:rsidRDefault="00324883" w:rsidP="00D77F6D">
    <w:pPr>
      <w:pStyle w:val="Stopka"/>
      <w:jc w:val="center"/>
    </w:pPr>
  </w:p>
  <w:p w:rsidR="00324883" w:rsidRDefault="003248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B8" w:rsidRDefault="008211B8" w:rsidP="00922B06">
      <w:r>
        <w:separator/>
      </w:r>
    </w:p>
  </w:footnote>
  <w:footnote w:type="continuationSeparator" w:id="1">
    <w:p w:rsidR="008211B8" w:rsidRDefault="008211B8" w:rsidP="00922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D4B59"/>
    <w:rsid w:val="0003446A"/>
    <w:rsid w:val="00082FDB"/>
    <w:rsid w:val="00085AFB"/>
    <w:rsid w:val="000C56D2"/>
    <w:rsid w:val="000D419E"/>
    <w:rsid w:val="000E478E"/>
    <w:rsid w:val="000F7F6A"/>
    <w:rsid w:val="0012583C"/>
    <w:rsid w:val="001961A6"/>
    <w:rsid w:val="001D0FE3"/>
    <w:rsid w:val="0021632C"/>
    <w:rsid w:val="002B367A"/>
    <w:rsid w:val="002D260B"/>
    <w:rsid w:val="00313E59"/>
    <w:rsid w:val="00324883"/>
    <w:rsid w:val="003379C1"/>
    <w:rsid w:val="00344FAD"/>
    <w:rsid w:val="00355459"/>
    <w:rsid w:val="003B7D5A"/>
    <w:rsid w:val="003C3F6D"/>
    <w:rsid w:val="003F7F0E"/>
    <w:rsid w:val="004A70D5"/>
    <w:rsid w:val="00507559"/>
    <w:rsid w:val="005325FE"/>
    <w:rsid w:val="00594BCF"/>
    <w:rsid w:val="00607628"/>
    <w:rsid w:val="00623AC5"/>
    <w:rsid w:val="00632528"/>
    <w:rsid w:val="006620C5"/>
    <w:rsid w:val="007356CD"/>
    <w:rsid w:val="00785FFA"/>
    <w:rsid w:val="007A317F"/>
    <w:rsid w:val="00813B73"/>
    <w:rsid w:val="008211B8"/>
    <w:rsid w:val="00922B06"/>
    <w:rsid w:val="009649B1"/>
    <w:rsid w:val="009A0D20"/>
    <w:rsid w:val="009D0A75"/>
    <w:rsid w:val="009D4B59"/>
    <w:rsid w:val="009F0CF1"/>
    <w:rsid w:val="00A30C7E"/>
    <w:rsid w:val="00A62C22"/>
    <w:rsid w:val="00A73A94"/>
    <w:rsid w:val="00A77680"/>
    <w:rsid w:val="00AB5C7A"/>
    <w:rsid w:val="00AC08D4"/>
    <w:rsid w:val="00AF147D"/>
    <w:rsid w:val="00B232F0"/>
    <w:rsid w:val="00B64850"/>
    <w:rsid w:val="00B97AFB"/>
    <w:rsid w:val="00BA5A79"/>
    <w:rsid w:val="00BB3E67"/>
    <w:rsid w:val="00BB4701"/>
    <w:rsid w:val="00BC0710"/>
    <w:rsid w:val="00C10ADC"/>
    <w:rsid w:val="00C10DA9"/>
    <w:rsid w:val="00C41034"/>
    <w:rsid w:val="00C726DE"/>
    <w:rsid w:val="00C741C6"/>
    <w:rsid w:val="00CB684C"/>
    <w:rsid w:val="00D33950"/>
    <w:rsid w:val="00D4280A"/>
    <w:rsid w:val="00D77F6D"/>
    <w:rsid w:val="00E030E9"/>
    <w:rsid w:val="00E04C36"/>
    <w:rsid w:val="00E21282"/>
    <w:rsid w:val="00E52320"/>
    <w:rsid w:val="00E93230"/>
    <w:rsid w:val="00E9515F"/>
    <w:rsid w:val="00EC7208"/>
    <w:rsid w:val="00F04B69"/>
    <w:rsid w:val="00F24485"/>
    <w:rsid w:val="00F40EEF"/>
    <w:rsid w:val="00FD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B5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D4B5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9D4B59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5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B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B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D4B59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D4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4B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D4B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44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4F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4FA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2B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B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2B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15879</CharactersWithSpaces>
  <SharedDoc>false</SharedDoc>
  <HLinks>
    <vt:vector size="6" baseType="variant"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http://www.prawo.vulcan.edu.pl/przegdok.asp?qdatprz=22-08-2017&amp;qplikid=1</vt:lpwstr>
      </vt:variant>
      <vt:variant>
        <vt:lpwstr>P1A6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Brodzik</cp:lastModifiedBy>
  <cp:revision>4</cp:revision>
  <cp:lastPrinted>2017-08-31T13:19:00Z</cp:lastPrinted>
  <dcterms:created xsi:type="dcterms:W3CDTF">2022-08-02T11:32:00Z</dcterms:created>
  <dcterms:modified xsi:type="dcterms:W3CDTF">2022-09-05T14:10:00Z</dcterms:modified>
</cp:coreProperties>
</file>